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38"/>
        <w:tblBorders>
          <w:top w:val="single" w:color="BFBFBF" w:sz="6"/>
          <w:left w:val="single" w:color="BFBFBF" w:sz="6"/>
          <w:bottom w:val="single" w:color="BFBFBF" w:sz="6"/>
          <w:right w:val="single" w:color="BFBFBF" w:sz="6"/>
          <w:insideH w:val="single" w:color="BFBFBF" w:sz="6"/>
          <w:insideV w:val="single" w:color="BFBFBF" w:sz="6"/>
        </w:tblBorders>
      </w:tblPr>
      <w:tblGrid>
        <w:gridCol w:w="9638"/>
      </w:tblGrid>
      <w:tr>
        <w:tc>
          <w:tcPr>
            <w:tcW w:type="dxa" w:w="9638"/>
            <w:shd w:fill="F2F2F2" w:color="auto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>Zanim wypełnisz — przeczytaj załącznik do swojej umowy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95959"/>
                <w:sz w:val="17"/>
                <w:szCs w:val="17"/>
              </w:rPr>
              <w:t xml:space="preserve">Wzoru ogólnopolskiego nie ma. Prawo budowlane definiuje dokumentację powykonawczą wyłącznie przez zawartość (art. 3 pkt 14) i nie używa słów „segregator", „grzbiet", „okładka" ani „etykieta". Formę narzuca umowa, SWZ albo załączone do nich wytyczne — i różni zamawiający wymagają różnych rzeczy, czasem wzajemnie sprzecznych (jeden żąda egzemplarza trwale zszytego, inny zszywania zakazuje).</w:t>
            </w:r>
          </w:p>
          <w:p>
            <w:pPr>
              <w:spacing w:after="6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95959"/>
                <w:sz w:val="17"/>
                <w:szCs w:val="17"/>
              </w:rPr>
              <w:t xml:space="preserve">Ten szablon jest szkieletem uniwersalnym: zawiera pola powtarzające się u wielu zamawiających. Sprawdź swój załącznik przed drukiem — zmiana opisu po wydrukowaniu oznacza przeklejanie wszystkich segregatorów.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95959"/>
                <w:sz w:val="17"/>
                <w:szCs w:val="17"/>
              </w:rPr>
              <w:t xml:space="preserve">Lista zbiera powody, dla których komplet bezbłędny merytorycznie potrafi wrócić do poprawy: formę, opis i kompletność. Pozycje bez odniesienia do przepisu pochodzą z wytycznych konkretnych zamawiających — traktuj je jako pytania do swojego załącznika, nie jako obowiązujące normy.</w:t>
            </w:r>
          </w:p>
        </w:tc>
      </w:tr>
    </w:tbl>
    <w:p>
      <w:pPr>
        <w:spacing w:after="24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000000"/>
          <w:sz w:val="20"/>
          <w:szCs w:val="20"/>
        </w:rPr>
        <w:t xml:space="preserve"/>
      </w:r>
    </w:p>
    <w:p>
      <w:pPr>
        <w:spacing w:after="100" w:before="0"/>
        <w:jc w:val="left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000000"/>
          <w:sz w:val="24"/>
          <w:szCs w:val="24"/>
        </w:rPr>
        <w:t xml:space="preserve">CHECKLISTA — DOKUMENTACJA POWYKONAWCZA PRZED ODBIOREM</w:t>
      </w:r>
    </w:p>
    <w:tbl>
      <w:tblPr>
        <w:tblW w:type="dxa" w:w="9638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3084"/>
        <w:gridCol w:w="6554"/>
      </w:tblGrid>
      <w:tr>
        <w:trPr>
          <w:trHeight w:val="460" w:hRule="atLeast"/>
        </w:trPr>
        <w:tc>
          <w:tcPr>
            <w:tcW w:type="dxa" w:w="3084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95959"/>
                <w:sz w:val="17"/>
                <w:szCs w:val="17"/>
              </w:rPr>
              <w:t xml:space="preserve">Inwestycja</w:t>
            </w:r>
          </w:p>
        </w:tc>
        <w:tc>
          <w:tcPr>
            <w:tcW w:type="dxa" w:w="6554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084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95959"/>
                <w:sz w:val="17"/>
                <w:szCs w:val="17"/>
              </w:rPr>
              <w:t xml:space="preserve">Tom / branża</w:t>
            </w:r>
          </w:p>
        </w:tc>
        <w:tc>
          <w:tcPr>
            <w:tcW w:type="dxa" w:w="6554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rPr>
          <w:trHeight w:val="460" w:hRule="atLeast"/>
        </w:trPr>
        <w:tc>
          <w:tcPr>
            <w:tcW w:type="dxa" w:w="3084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595959"/>
                <w:sz w:val="17"/>
                <w:szCs w:val="17"/>
              </w:rPr>
              <w:t xml:space="preserve">Sprawdził (imię, nazwisko, data)</w:t>
            </w:r>
          </w:p>
        </w:tc>
        <w:tc>
          <w:tcPr>
            <w:tcW w:type="dxa" w:w="6554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200" w:before="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000000"/>
          <w:sz w:val="20"/>
          <w:szCs w:val="20"/>
        </w:rPr>
        <w:t xml:space="preserve"/>
      </w:r>
    </w:p>
    <w:tbl>
      <w:tblPr>
        <w:tblW w:type="dxa" w:w="9638"/>
        <w:tblBorders>
          <w:top w:val="single" w:color="808080" w:sz="4"/>
          <w:left w:val="single" w:color="808080" w:sz="4"/>
          <w:bottom w:val="single" w:color="808080" w:sz="4"/>
          <w:right w:val="single" w:color="808080" w:sz="4"/>
          <w:insideH w:val="single" w:color="808080" w:sz="4"/>
          <w:insideV w:val="single" w:color="808080" w:sz="4"/>
        </w:tblBorders>
      </w:tblPr>
      <w:tblGrid>
        <w:gridCol w:w="460"/>
        <w:gridCol w:w="7178"/>
        <w:gridCol w:w="2000"/>
      </w:tblGrid>
      <w:tr>
        <w:trPr>
          <w:tblHeader/>
        </w:trPr>
        <w:tc>
          <w:tcPr>
            <w:tcW w:type="dxa" w:w="460"/>
            <w:shd w:fill="E0E0E0" w:color="auto" w:val="clear"/>
            <w:tcMar>
              <w:top w:type="dxa" w:w="80"/>
              <w:left w:type="dxa" w:w="80"/>
              <w:bottom w:type="dxa" w:w="80"/>
              <w:right w:type="dxa" w:w="60"/>
            </w:tcMar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7"/>
                <w:szCs w:val="17"/>
              </w:rPr>
              <w:t xml:space="preserve">✓</w:t>
            </w:r>
          </w:p>
        </w:tc>
        <w:tc>
          <w:tcPr>
            <w:tcW w:type="dxa" w:w="7178"/>
            <w:shd w:fill="E0E0E0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7"/>
                <w:szCs w:val="17"/>
              </w:rPr>
              <w:t xml:space="preserve">Do sprawdzenia</w:t>
            </w:r>
          </w:p>
        </w:tc>
        <w:tc>
          <w:tcPr>
            <w:tcW w:type="dxa" w:w="2000"/>
            <w:shd w:fill="E0E0E0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7"/>
                <w:szCs w:val="17"/>
              </w:rPr>
              <w:t xml:space="preserve">Uwagi</w:t>
            </w:r>
          </w:p>
        </w:tc>
      </w:tr>
      <w:tr>
        <w:tc>
          <w:tcPr>
            <w:tcW w:type="dxa" w:w="9638"/>
            <w:gridSpan w:val="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A. Zanim cokolwiek pójdzie do druku</w:t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Odszukany załącznik do umowy lub SWZ opisujący formę dokumentacji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Formy nie da się wyprowadzić z poprzedniego kontraktu — wymagania bywają wzajemnie sprzeczne.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Wzór opisu grzbietu jest w dokumentach albo wystąpiono o niego do zamawiającego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Część zamawiających nie publikuje wzoru i odsyła po aktualną wersję.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Liczba egzemplarzy potwierdzona w umowie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Zdarza się, że dwa sąsiadujące punkty tej samej specyfikacji podają różne liczby.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Sprawdzone, czy oprawa trwała jest wymagana czy zakazana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Jeden zamawiający żąda egzemplarza trwale zszytego, inny zakazuje zszywania, klejenia i bindowania.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Sprawdzone, czy dopuszczalne są kartony i pudła archiwizacyjne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Bywa wymogiem u jednych, a zakazem u drugich.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38"/>
            <w:gridSpan w:val="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B. Zawartość</w:t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Naniesione zmiany dokonane w toku wykonywania robót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Art. 3 pkt 14 Prawa budowlanego.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Geodezyjne pomiary powykonawcze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Art. 3 pkt 14 Prawa budowlanego.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Zmiany nieistotne naniesione kolorem czerwonym, z zatwierdzeniem projektanta i inspektora nadzoru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Por. art. 57 ust. 2; wymóg koloru pochodzi z wytycznych zamawiających.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Pieczęć „DOKUMENTACJA POWYKONAWCZA" — sprawdzone, czy na każdej stronie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Część zamawiających wymaga czerwonej pieczęci na każdej stronie kompletu.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Podpis kierownika budowy tam, gdzie wymagany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Karty materiałowe, atesty i deklaracje zgodności — oznaczone zgodnie z wytycznymi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38"/>
            <w:gridSpan w:val="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C. Forma fizyczna</w:t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Tomy wydzielone zgodnie z systematyką podziału robót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Wszystkie strony w każdym tomie trwale spięte i ponumerowane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Segregatory nieprzepełnione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Bywa limit wypełnienia do 90% pojemności podanej przez producenta.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Zakładki oddzielające części kompletu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Waga pojedynczej teczki w granicach wymaganych umową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U jednego z zamawiających drogowych limit to 10 kg.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Długość arkusza w granicach wymaganych umową; arkusz nie sklejany z mniejszych formatów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Spotykany limit: 150 cm.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Rysunki złożone do A4 w sposób właściwy dla oprawy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Inaczej składa się rysunek do skoroszytu, inaczej do segregatora. Normy do przywołania nie ma — PN-N-01603:1986 wycofano w 2011 r. bez normy zastępującej.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38"/>
            <w:gridSpan w:val="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D. Opis i identyfikacja</w:t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Grzbiet opisany kompletem pól z załącznika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Przy tomie podzielonym na segregatory — opis wymienia zawartość TEGO segregatora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Skopiowanie jednego opisu na trzy segregatory daje trzy nierozróżnialne obiekty na półce.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Strona tytułowa lub okładka opisana zgodnie z wytycznymi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Numeracja w postaci „X z Y" — tom, segregator, egzemplarz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Zostawione miejsce na numer archiwalny nadawany przez zamawiającego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Opis nie wystaje nad górną krawędź kieszeni segregatora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38"/>
            <w:gridSpan w:val="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E. Wersja elektroniczna</w:t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Skan wykonany PO opieczętowaniu i podpisaniu papieru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Wymóg „tożsama z papierową" ustawia kolejność prac — nie odwrotnie.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Katalogi odpowiadają podziałowi na tomy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Rozdzielczość skanu zgodna z umową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Spotykane wartości: 200 dpi powyżej A3 i 300 dpi dla A3 i mniejszych; u innego zamawiającego 600 dpi dla rysunków.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Rysunki edytowalne otwierają się bez dogrywania czcionek i podkładów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Odnośnik zewnętrzny w stanie odłączonym to pustka tam, gdzie odbiorca spodziewa się rysunku.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Nośnik opisany zgodnie z wytycznymi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38"/>
            <w:gridSpan w:val="3"/>
            <w:shd w:fill="F2F2F2" w:color="auto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F. Po przekazaniu</w:t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3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Znany termin na usunięcie błędów wskazanych przez zamawiającego</w:t>
            </w:r>
          </w:p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aps w:val="false"/>
                <w:color w:val="595959"/>
                <w:sz w:val="14"/>
                <w:szCs w:val="14"/>
              </w:rPr>
              <w:t xml:space="preserve">Spotykane kalendarze: 3 dni na zgłoszenie błędów, 3 na przekazanie do poprawy i 10 na ponowną kontrolę; u innego zamawiającego 14 dni na poprawki.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0"/>
            <w:tcMar>
              <w:top w:type="dxa" w:w="70"/>
              <w:left w:type="dxa" w:w="100"/>
              <w:bottom w:type="dxa" w:w="70"/>
              <w:right w:type="dxa" w:w="6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4"/>
                <w:szCs w:val="24"/>
              </w:rPr>
              <w:t xml:space="preserve">☐</w:t>
            </w:r>
          </w:p>
        </w:tc>
        <w:tc>
          <w:tcPr>
            <w:tcW w:type="dxa" w:w="7178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18"/>
                <w:szCs w:val="18"/>
              </w:rPr>
              <w:t xml:space="preserve">Zachowany protokół przekazania z podpisami obu stron</w:t>
            </w:r>
          </w:p>
        </w:tc>
        <w:tc>
          <w:tcPr>
            <w:tcW w:type="dxa" w:w="2000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 w:before="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Checklista kompletności dokumentacji powykonawczej</dc:title>
  <dc:creator>Technikadruku.pl</dc:creator>
  <dc:description>Lista kontrolna przed przekazaniem kompletu do odbioru.</dc:description>
  <cp:lastModifiedBy>Technikadruku.pl</cp:lastModifiedBy>
  <cp:revision>1</cp:revision>
  <dcterms:created xsi:type="dcterms:W3CDTF">2026-08-14T19:20:45.199Z</dcterms:created>
  <dcterms:modified xsi:type="dcterms:W3CDTF">2026-08-14T19:20:45.199Z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